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B9CD" w14:textId="3947DFCE" w:rsidR="00630A31" w:rsidRPr="00EF5F63" w:rsidRDefault="00007BF3" w:rsidP="00007BF3">
      <w:pPr>
        <w:jc w:val="center"/>
        <w:rPr>
          <w:b/>
          <w:bCs/>
          <w:sz w:val="24"/>
          <w:szCs w:val="24"/>
        </w:rPr>
      </w:pPr>
      <w:r w:rsidRPr="00EF5F63">
        <w:rPr>
          <w:b/>
          <w:bCs/>
          <w:sz w:val="24"/>
          <w:szCs w:val="24"/>
        </w:rPr>
        <w:t>Ornamental Horticulture Roundtable Group</w:t>
      </w:r>
    </w:p>
    <w:p w14:paraId="1561B1A3" w14:textId="49A9B6DA" w:rsidR="00007BF3" w:rsidRPr="00A5056C" w:rsidRDefault="004F3775" w:rsidP="00007BF3">
      <w:pPr>
        <w:jc w:val="center"/>
        <w:rPr>
          <w:b/>
          <w:bCs/>
          <w:sz w:val="24"/>
          <w:szCs w:val="24"/>
        </w:rPr>
      </w:pPr>
      <w:r w:rsidRPr="00A5056C">
        <w:rPr>
          <w:b/>
          <w:bCs/>
          <w:sz w:val="24"/>
          <w:szCs w:val="24"/>
        </w:rPr>
        <w:t xml:space="preserve">Review of </w:t>
      </w:r>
      <w:r w:rsidR="00007BF3" w:rsidRPr="00A5056C">
        <w:rPr>
          <w:b/>
          <w:bCs/>
          <w:sz w:val="24"/>
          <w:szCs w:val="24"/>
        </w:rPr>
        <w:t>Education and Employment Working Group</w:t>
      </w:r>
      <w:r w:rsidRPr="00A5056C">
        <w:rPr>
          <w:b/>
          <w:bCs/>
          <w:sz w:val="24"/>
          <w:szCs w:val="24"/>
        </w:rPr>
        <w:t xml:space="preserve"> Activity – January 2023</w:t>
      </w:r>
    </w:p>
    <w:p w14:paraId="47730930" w14:textId="77777777" w:rsidR="00945F74" w:rsidRPr="00A5056C" w:rsidRDefault="00945F74" w:rsidP="00945F74">
      <w:pPr>
        <w:pStyle w:val="ListParagraph"/>
        <w:rPr>
          <w:sz w:val="24"/>
          <w:szCs w:val="24"/>
        </w:rPr>
      </w:pPr>
    </w:p>
    <w:p w14:paraId="2656F55B" w14:textId="1E9B50AF" w:rsidR="006D77A7" w:rsidRPr="00A5056C" w:rsidRDefault="006D77A7" w:rsidP="006D77A7">
      <w:pPr>
        <w:pStyle w:val="ListParagraph"/>
        <w:numPr>
          <w:ilvl w:val="0"/>
          <w:numId w:val="1"/>
        </w:numPr>
        <w:rPr>
          <w:sz w:val="24"/>
          <w:szCs w:val="24"/>
        </w:rPr>
      </w:pPr>
      <w:r w:rsidRPr="00A5056C">
        <w:rPr>
          <w:sz w:val="24"/>
          <w:szCs w:val="24"/>
        </w:rPr>
        <w:t>Seasonal Workers</w:t>
      </w:r>
    </w:p>
    <w:p w14:paraId="2ACDC7B1" w14:textId="6C83583F" w:rsidR="006D77A7" w:rsidRPr="00A5056C" w:rsidRDefault="006D77A7" w:rsidP="006D77A7">
      <w:pPr>
        <w:ind w:left="360"/>
        <w:rPr>
          <w:sz w:val="24"/>
          <w:szCs w:val="24"/>
        </w:rPr>
      </w:pPr>
      <w:r w:rsidRPr="00A5056C">
        <w:rPr>
          <w:sz w:val="24"/>
          <w:szCs w:val="24"/>
        </w:rPr>
        <w:t>We welcome the Government announcement of 45,000 permits (plus an optional 10,00 available) being allocated to the commercial horticulture industry in 2023.</w:t>
      </w:r>
    </w:p>
    <w:p w14:paraId="11AB9675" w14:textId="574EB13B" w:rsidR="006D77A7" w:rsidRPr="00A5056C" w:rsidRDefault="00560C99" w:rsidP="006D77A7">
      <w:pPr>
        <w:ind w:left="360"/>
        <w:rPr>
          <w:sz w:val="24"/>
          <w:szCs w:val="24"/>
        </w:rPr>
      </w:pPr>
      <w:r w:rsidRPr="00A5056C">
        <w:rPr>
          <w:sz w:val="24"/>
          <w:szCs w:val="24"/>
        </w:rPr>
        <w:t xml:space="preserve">It is our objective </w:t>
      </w:r>
      <w:r w:rsidR="006D77A7" w:rsidRPr="00A5056C">
        <w:rPr>
          <w:sz w:val="24"/>
          <w:szCs w:val="24"/>
        </w:rPr>
        <w:t>to:</w:t>
      </w:r>
    </w:p>
    <w:p w14:paraId="29165B09" w14:textId="7AE9328F" w:rsidR="004F3775" w:rsidRPr="00A5056C" w:rsidRDefault="006D77A7" w:rsidP="006D77A7">
      <w:pPr>
        <w:pStyle w:val="ListParagraph"/>
        <w:numPr>
          <w:ilvl w:val="0"/>
          <w:numId w:val="2"/>
        </w:numPr>
        <w:rPr>
          <w:sz w:val="24"/>
          <w:szCs w:val="24"/>
        </w:rPr>
      </w:pPr>
      <w:r w:rsidRPr="00A5056C">
        <w:rPr>
          <w:sz w:val="24"/>
          <w:szCs w:val="24"/>
        </w:rPr>
        <w:t xml:space="preserve">Have the SWS scheme </w:t>
      </w:r>
      <w:proofErr w:type="gramStart"/>
      <w:r w:rsidRPr="00A5056C">
        <w:rPr>
          <w:sz w:val="24"/>
          <w:szCs w:val="24"/>
        </w:rPr>
        <w:t>operate</w:t>
      </w:r>
      <w:proofErr w:type="gramEnd"/>
      <w:r w:rsidRPr="00A5056C">
        <w:rPr>
          <w:sz w:val="24"/>
          <w:szCs w:val="24"/>
        </w:rPr>
        <w:t xml:space="preserve"> on a rolling five year basis to give greater certainty of labour availability with the sector</w:t>
      </w:r>
      <w:r w:rsidR="00AB6B91">
        <w:rPr>
          <w:sz w:val="24"/>
          <w:szCs w:val="24"/>
        </w:rPr>
        <w:t>.</w:t>
      </w:r>
    </w:p>
    <w:p w14:paraId="75352125" w14:textId="5F458D10" w:rsidR="006D77A7" w:rsidRPr="00A5056C" w:rsidRDefault="006D77A7" w:rsidP="006D77A7">
      <w:pPr>
        <w:pStyle w:val="ListParagraph"/>
        <w:numPr>
          <w:ilvl w:val="0"/>
          <w:numId w:val="2"/>
        </w:numPr>
        <w:rPr>
          <w:sz w:val="24"/>
          <w:szCs w:val="24"/>
        </w:rPr>
      </w:pPr>
      <w:r w:rsidRPr="00A5056C">
        <w:rPr>
          <w:sz w:val="24"/>
          <w:szCs w:val="24"/>
        </w:rPr>
        <w:t xml:space="preserve">Ensure pay </w:t>
      </w:r>
      <w:r w:rsidR="00C641E3" w:rsidRPr="00A5056C">
        <w:rPr>
          <w:sz w:val="24"/>
          <w:szCs w:val="24"/>
        </w:rPr>
        <w:t>on the SWS is aligned with the NLW</w:t>
      </w:r>
      <w:r w:rsidR="00AB6B91">
        <w:rPr>
          <w:sz w:val="24"/>
          <w:szCs w:val="24"/>
        </w:rPr>
        <w:t>.</w:t>
      </w:r>
    </w:p>
    <w:p w14:paraId="68FFDC4E" w14:textId="0A41750F" w:rsidR="00C641E3" w:rsidRPr="00A5056C" w:rsidRDefault="00C641E3" w:rsidP="006D77A7">
      <w:pPr>
        <w:pStyle w:val="ListParagraph"/>
        <w:numPr>
          <w:ilvl w:val="0"/>
          <w:numId w:val="2"/>
        </w:numPr>
        <w:rPr>
          <w:sz w:val="24"/>
          <w:szCs w:val="24"/>
        </w:rPr>
      </w:pPr>
      <w:r w:rsidRPr="00A5056C">
        <w:rPr>
          <w:sz w:val="24"/>
          <w:szCs w:val="24"/>
        </w:rPr>
        <w:t>Extend the permit to 9 months</w:t>
      </w:r>
      <w:r w:rsidR="00AB6B91">
        <w:rPr>
          <w:sz w:val="24"/>
          <w:szCs w:val="24"/>
        </w:rPr>
        <w:t>.</w:t>
      </w:r>
    </w:p>
    <w:p w14:paraId="7A0D4D27" w14:textId="0C34768D" w:rsidR="00C641E3" w:rsidRPr="00A5056C" w:rsidRDefault="00C641E3" w:rsidP="006D77A7">
      <w:pPr>
        <w:pStyle w:val="ListParagraph"/>
        <w:numPr>
          <w:ilvl w:val="0"/>
          <w:numId w:val="2"/>
        </w:numPr>
        <w:rPr>
          <w:sz w:val="24"/>
          <w:szCs w:val="24"/>
        </w:rPr>
      </w:pPr>
      <w:r w:rsidRPr="00A5056C">
        <w:rPr>
          <w:sz w:val="24"/>
          <w:szCs w:val="24"/>
        </w:rPr>
        <w:t>Improve access to Young People seeking short term employment in all ornamental sectors by expanding the Youth Mobility Scheme</w:t>
      </w:r>
      <w:r w:rsidR="00AB6B91">
        <w:rPr>
          <w:sz w:val="24"/>
          <w:szCs w:val="24"/>
        </w:rPr>
        <w:t>.</w:t>
      </w:r>
    </w:p>
    <w:p w14:paraId="1D2F2186" w14:textId="77777777" w:rsidR="00560C99" w:rsidRPr="00A5056C" w:rsidRDefault="00560C99" w:rsidP="00560C99">
      <w:pPr>
        <w:pStyle w:val="ListParagraph"/>
        <w:rPr>
          <w:sz w:val="24"/>
          <w:szCs w:val="24"/>
        </w:rPr>
      </w:pPr>
    </w:p>
    <w:p w14:paraId="476663CF" w14:textId="4EC6CF00" w:rsidR="00560C99" w:rsidRPr="00A5056C" w:rsidRDefault="00560C99" w:rsidP="00560C99">
      <w:pPr>
        <w:pStyle w:val="ListParagraph"/>
        <w:numPr>
          <w:ilvl w:val="0"/>
          <w:numId w:val="1"/>
        </w:numPr>
        <w:rPr>
          <w:sz w:val="24"/>
          <w:szCs w:val="24"/>
        </w:rPr>
      </w:pPr>
      <w:r w:rsidRPr="00A5056C">
        <w:rPr>
          <w:sz w:val="24"/>
          <w:szCs w:val="24"/>
        </w:rPr>
        <w:t>Recruitment</w:t>
      </w:r>
    </w:p>
    <w:p w14:paraId="3C00160E" w14:textId="5E419A46" w:rsidR="00560C99" w:rsidRPr="00A5056C" w:rsidRDefault="00560C99" w:rsidP="00560C99">
      <w:pPr>
        <w:ind w:left="360"/>
        <w:rPr>
          <w:sz w:val="24"/>
          <w:szCs w:val="24"/>
        </w:rPr>
      </w:pPr>
      <w:r w:rsidRPr="00A5056C">
        <w:rPr>
          <w:sz w:val="24"/>
          <w:szCs w:val="24"/>
        </w:rPr>
        <w:t>Many horticultural enterprises operate in areas of low unemployment and a shortage of people available for work.</w:t>
      </w:r>
    </w:p>
    <w:p w14:paraId="3789354D" w14:textId="7E864801" w:rsidR="00560C99" w:rsidRPr="00A5056C" w:rsidRDefault="00560C99" w:rsidP="00560C99">
      <w:pPr>
        <w:ind w:left="360"/>
        <w:rPr>
          <w:sz w:val="24"/>
          <w:szCs w:val="24"/>
        </w:rPr>
      </w:pPr>
      <w:r w:rsidRPr="00A5056C">
        <w:rPr>
          <w:sz w:val="24"/>
          <w:szCs w:val="24"/>
        </w:rPr>
        <w:t>It is our objective to</w:t>
      </w:r>
      <w:r w:rsidR="00BD2978" w:rsidRPr="00A5056C">
        <w:rPr>
          <w:sz w:val="24"/>
          <w:szCs w:val="24"/>
        </w:rPr>
        <w:t>:</w:t>
      </w:r>
    </w:p>
    <w:p w14:paraId="00854BB9" w14:textId="53B4B83E" w:rsidR="00BD2978" w:rsidRPr="00A5056C" w:rsidRDefault="00BD2978" w:rsidP="00BD2978">
      <w:pPr>
        <w:pStyle w:val="ListParagraph"/>
        <w:numPr>
          <w:ilvl w:val="0"/>
          <w:numId w:val="3"/>
        </w:numPr>
        <w:rPr>
          <w:sz w:val="24"/>
          <w:szCs w:val="24"/>
        </w:rPr>
      </w:pPr>
      <w:r w:rsidRPr="00A5056C">
        <w:rPr>
          <w:sz w:val="24"/>
          <w:szCs w:val="24"/>
        </w:rPr>
        <w:t>Use all available platforms to advertise job vacancies</w:t>
      </w:r>
      <w:r w:rsidR="00AB6B91">
        <w:rPr>
          <w:sz w:val="24"/>
          <w:szCs w:val="24"/>
        </w:rPr>
        <w:t>.</w:t>
      </w:r>
    </w:p>
    <w:p w14:paraId="6C716101" w14:textId="570D0521" w:rsidR="00BD2978" w:rsidRPr="00A5056C" w:rsidRDefault="00BD2978" w:rsidP="00BD2978">
      <w:pPr>
        <w:pStyle w:val="ListParagraph"/>
        <w:numPr>
          <w:ilvl w:val="0"/>
          <w:numId w:val="3"/>
        </w:numPr>
        <w:rPr>
          <w:sz w:val="24"/>
          <w:szCs w:val="24"/>
        </w:rPr>
      </w:pPr>
      <w:r w:rsidRPr="00A5056C">
        <w:rPr>
          <w:sz w:val="24"/>
          <w:szCs w:val="24"/>
        </w:rPr>
        <w:t>Work with DWP to optimise the relationship between our employers and Job Centre Plus</w:t>
      </w:r>
      <w:r w:rsidR="00AB6B91">
        <w:rPr>
          <w:sz w:val="24"/>
          <w:szCs w:val="24"/>
        </w:rPr>
        <w:t>.</w:t>
      </w:r>
    </w:p>
    <w:p w14:paraId="28897BE2" w14:textId="298A9E54" w:rsidR="00BD2978" w:rsidRPr="00A5056C" w:rsidRDefault="00BD2978" w:rsidP="00BD2978">
      <w:pPr>
        <w:pStyle w:val="ListParagraph"/>
        <w:numPr>
          <w:ilvl w:val="0"/>
          <w:numId w:val="3"/>
        </w:numPr>
        <w:rPr>
          <w:sz w:val="24"/>
          <w:szCs w:val="24"/>
        </w:rPr>
      </w:pPr>
      <w:r w:rsidRPr="00A5056C">
        <w:rPr>
          <w:sz w:val="24"/>
          <w:szCs w:val="24"/>
        </w:rPr>
        <w:t>Have horticultural professions included on the Shortage Occupation List through engaging with the Migration Advisory Committee</w:t>
      </w:r>
      <w:r w:rsidR="00AB6B91">
        <w:rPr>
          <w:sz w:val="24"/>
          <w:szCs w:val="24"/>
        </w:rPr>
        <w:t>.</w:t>
      </w:r>
    </w:p>
    <w:p w14:paraId="7001D5B1" w14:textId="45E8C01A" w:rsidR="00BD2978" w:rsidRPr="00A5056C" w:rsidRDefault="00BD2978" w:rsidP="00BD2978">
      <w:pPr>
        <w:pStyle w:val="ListParagraph"/>
        <w:numPr>
          <w:ilvl w:val="0"/>
          <w:numId w:val="3"/>
        </w:numPr>
        <w:rPr>
          <w:sz w:val="24"/>
          <w:szCs w:val="24"/>
        </w:rPr>
      </w:pPr>
      <w:r w:rsidRPr="00A5056C">
        <w:rPr>
          <w:sz w:val="24"/>
          <w:szCs w:val="24"/>
        </w:rPr>
        <w:t>Work with Government on schemes to remove logistical factors preventing the unemployed from entering the sector</w:t>
      </w:r>
      <w:r w:rsidR="00AB6B91">
        <w:rPr>
          <w:sz w:val="24"/>
          <w:szCs w:val="24"/>
        </w:rPr>
        <w:t>.</w:t>
      </w:r>
    </w:p>
    <w:p w14:paraId="7DB44A73" w14:textId="0D1E7925" w:rsidR="00933D6A" w:rsidRPr="00A5056C" w:rsidRDefault="00933D6A" w:rsidP="00BD2978">
      <w:pPr>
        <w:pStyle w:val="ListParagraph"/>
        <w:numPr>
          <w:ilvl w:val="0"/>
          <w:numId w:val="3"/>
        </w:numPr>
        <w:rPr>
          <w:sz w:val="24"/>
          <w:szCs w:val="24"/>
        </w:rPr>
      </w:pPr>
      <w:r w:rsidRPr="00A5056C">
        <w:rPr>
          <w:sz w:val="24"/>
          <w:szCs w:val="24"/>
        </w:rPr>
        <w:t>Ensure as many occupations in the sector as possible are identified as ‘green jobs’ and are coded appropriately by the ONS</w:t>
      </w:r>
      <w:r w:rsidR="00AB6B91">
        <w:rPr>
          <w:sz w:val="24"/>
          <w:szCs w:val="24"/>
        </w:rPr>
        <w:t>.</w:t>
      </w:r>
    </w:p>
    <w:p w14:paraId="4A0EEB51" w14:textId="77777777" w:rsidR="00BD2978" w:rsidRPr="00A5056C" w:rsidRDefault="00BD2978" w:rsidP="00BD2978">
      <w:pPr>
        <w:pStyle w:val="ListParagraph"/>
        <w:ind w:left="1080"/>
        <w:rPr>
          <w:sz w:val="24"/>
          <w:szCs w:val="24"/>
        </w:rPr>
      </w:pPr>
    </w:p>
    <w:p w14:paraId="1AA242B1" w14:textId="4BFF6490" w:rsidR="00C641E3" w:rsidRPr="00A5056C" w:rsidRDefault="00560C99" w:rsidP="00560C99">
      <w:pPr>
        <w:pStyle w:val="ListParagraph"/>
        <w:numPr>
          <w:ilvl w:val="0"/>
          <w:numId w:val="1"/>
        </w:numPr>
        <w:rPr>
          <w:sz w:val="24"/>
          <w:szCs w:val="24"/>
        </w:rPr>
      </w:pPr>
      <w:r w:rsidRPr="00A5056C">
        <w:rPr>
          <w:sz w:val="24"/>
          <w:szCs w:val="24"/>
        </w:rPr>
        <w:t>Apprenticeships</w:t>
      </w:r>
    </w:p>
    <w:p w14:paraId="1FC1D735" w14:textId="7E4DCFBF" w:rsidR="00BD2978" w:rsidRPr="00A5056C" w:rsidRDefault="00BD2978" w:rsidP="00BD2978">
      <w:pPr>
        <w:ind w:left="360"/>
        <w:rPr>
          <w:sz w:val="24"/>
          <w:szCs w:val="24"/>
        </w:rPr>
      </w:pPr>
      <w:r w:rsidRPr="00A5056C">
        <w:rPr>
          <w:sz w:val="24"/>
          <w:szCs w:val="24"/>
        </w:rPr>
        <w:t>The landscape and garden enterprises are leaders within land-based sectors with respect to the adoption of Apprenticeships</w:t>
      </w:r>
      <w:r w:rsidR="00D41F11" w:rsidRPr="00A5056C">
        <w:rPr>
          <w:sz w:val="24"/>
          <w:szCs w:val="24"/>
        </w:rPr>
        <w:t>.</w:t>
      </w:r>
      <w:r w:rsidRPr="00A5056C">
        <w:rPr>
          <w:sz w:val="24"/>
          <w:szCs w:val="24"/>
        </w:rPr>
        <w:t xml:space="preserve"> There has</w:t>
      </w:r>
      <w:r w:rsidR="00D41F11" w:rsidRPr="00A5056C">
        <w:rPr>
          <w:sz w:val="24"/>
          <w:szCs w:val="24"/>
        </w:rPr>
        <w:t xml:space="preserve"> also</w:t>
      </w:r>
      <w:r w:rsidRPr="00A5056C">
        <w:rPr>
          <w:sz w:val="24"/>
          <w:szCs w:val="24"/>
        </w:rPr>
        <w:t xml:space="preserve"> been significant growth in the number of ornamental plant nurseries </w:t>
      </w:r>
      <w:r w:rsidR="00D41F11" w:rsidRPr="00A5056C">
        <w:rPr>
          <w:sz w:val="24"/>
          <w:szCs w:val="24"/>
        </w:rPr>
        <w:t>using apprenticeship schemes.</w:t>
      </w:r>
    </w:p>
    <w:p w14:paraId="1BE6B0B6" w14:textId="77777777" w:rsidR="00D41F11" w:rsidRPr="00A5056C" w:rsidRDefault="00D41F11" w:rsidP="00D41F11">
      <w:pPr>
        <w:ind w:left="360"/>
        <w:rPr>
          <w:sz w:val="24"/>
          <w:szCs w:val="24"/>
        </w:rPr>
      </w:pPr>
      <w:r w:rsidRPr="00A5056C">
        <w:rPr>
          <w:sz w:val="24"/>
          <w:szCs w:val="24"/>
        </w:rPr>
        <w:t>It is our objective to:</w:t>
      </w:r>
    </w:p>
    <w:p w14:paraId="1B3B24CB" w14:textId="651A2FCB" w:rsidR="00D41F11" w:rsidRPr="00A5056C" w:rsidRDefault="00D41F11" w:rsidP="00D41F11">
      <w:pPr>
        <w:pStyle w:val="ListParagraph"/>
        <w:numPr>
          <w:ilvl w:val="0"/>
          <w:numId w:val="4"/>
        </w:numPr>
        <w:rPr>
          <w:sz w:val="24"/>
          <w:szCs w:val="24"/>
        </w:rPr>
      </w:pPr>
      <w:r w:rsidRPr="00A5056C">
        <w:rPr>
          <w:sz w:val="24"/>
          <w:szCs w:val="24"/>
        </w:rPr>
        <w:t>Promote apprenticeships as a route to a career in the industry</w:t>
      </w:r>
      <w:r w:rsidR="00AB6B91">
        <w:rPr>
          <w:sz w:val="24"/>
          <w:szCs w:val="24"/>
        </w:rPr>
        <w:t>.</w:t>
      </w:r>
    </w:p>
    <w:p w14:paraId="0A08E52C" w14:textId="4B52D7E6" w:rsidR="0095587C" w:rsidRPr="00A5056C" w:rsidRDefault="0095587C" w:rsidP="00D41F11">
      <w:pPr>
        <w:pStyle w:val="ListParagraph"/>
        <w:numPr>
          <w:ilvl w:val="0"/>
          <w:numId w:val="4"/>
        </w:numPr>
        <w:rPr>
          <w:sz w:val="24"/>
          <w:szCs w:val="24"/>
        </w:rPr>
      </w:pPr>
      <w:r w:rsidRPr="00A5056C">
        <w:rPr>
          <w:sz w:val="24"/>
          <w:szCs w:val="24"/>
        </w:rPr>
        <w:lastRenderedPageBreak/>
        <w:t>Promote the apprenticeship brand for career progression and to address business skills needs.</w:t>
      </w:r>
    </w:p>
    <w:p w14:paraId="1A0A658E" w14:textId="38A87728" w:rsidR="00D41F11" w:rsidRPr="00A5056C" w:rsidRDefault="00B74F58" w:rsidP="00D41F11">
      <w:pPr>
        <w:pStyle w:val="ListParagraph"/>
        <w:numPr>
          <w:ilvl w:val="0"/>
          <w:numId w:val="4"/>
        </w:numPr>
        <w:rPr>
          <w:sz w:val="24"/>
          <w:szCs w:val="24"/>
        </w:rPr>
      </w:pPr>
      <w:r w:rsidRPr="00A5056C">
        <w:rPr>
          <w:sz w:val="24"/>
          <w:szCs w:val="24"/>
        </w:rPr>
        <w:t>E</w:t>
      </w:r>
      <w:r w:rsidR="0095587C" w:rsidRPr="00A5056C">
        <w:rPr>
          <w:sz w:val="24"/>
          <w:szCs w:val="24"/>
        </w:rPr>
        <w:t xml:space="preserve">nsure access to </w:t>
      </w:r>
      <w:r w:rsidRPr="00A5056C">
        <w:rPr>
          <w:sz w:val="24"/>
          <w:szCs w:val="24"/>
        </w:rPr>
        <w:t xml:space="preserve">apprenticeship training and assessment </w:t>
      </w:r>
      <w:r w:rsidR="0095587C" w:rsidRPr="00A5056C">
        <w:rPr>
          <w:sz w:val="24"/>
          <w:szCs w:val="24"/>
        </w:rPr>
        <w:t xml:space="preserve">and </w:t>
      </w:r>
      <w:r w:rsidR="00D41F11" w:rsidRPr="00A5056C">
        <w:rPr>
          <w:sz w:val="24"/>
          <w:szCs w:val="24"/>
        </w:rPr>
        <w:t>excellence within the apprenticeship training supply base</w:t>
      </w:r>
      <w:r w:rsidR="00AB6B91">
        <w:rPr>
          <w:sz w:val="24"/>
          <w:szCs w:val="24"/>
        </w:rPr>
        <w:t>.</w:t>
      </w:r>
    </w:p>
    <w:p w14:paraId="7A26ACDC" w14:textId="10ADE9A6" w:rsidR="00D41F11" w:rsidRPr="00A5056C" w:rsidRDefault="00D41F11" w:rsidP="00D41F11">
      <w:pPr>
        <w:pStyle w:val="ListParagraph"/>
        <w:numPr>
          <w:ilvl w:val="0"/>
          <w:numId w:val="4"/>
        </w:numPr>
        <w:rPr>
          <w:sz w:val="24"/>
          <w:szCs w:val="24"/>
        </w:rPr>
      </w:pPr>
      <w:r w:rsidRPr="00A5056C">
        <w:rPr>
          <w:sz w:val="24"/>
          <w:szCs w:val="24"/>
        </w:rPr>
        <w:t>Ensure relevant Trailblazer Groups are appropriately resourced with expertise in the Ornamental Horticulture sector. There is a current concern with respect to the Trailblazer Group covering the Crop Technician standard that was previously under the auspices of the AHDB</w:t>
      </w:r>
      <w:r w:rsidR="00AB6B91">
        <w:rPr>
          <w:sz w:val="24"/>
          <w:szCs w:val="24"/>
        </w:rPr>
        <w:t>.</w:t>
      </w:r>
    </w:p>
    <w:p w14:paraId="376C0552" w14:textId="31F00F66" w:rsidR="00D41F11" w:rsidRPr="00A5056C" w:rsidRDefault="00D41F11" w:rsidP="00D41F11">
      <w:pPr>
        <w:pStyle w:val="ListParagraph"/>
        <w:numPr>
          <w:ilvl w:val="0"/>
          <w:numId w:val="4"/>
        </w:numPr>
        <w:rPr>
          <w:sz w:val="24"/>
          <w:szCs w:val="24"/>
        </w:rPr>
      </w:pPr>
      <w:r w:rsidRPr="00A5056C">
        <w:rPr>
          <w:sz w:val="24"/>
          <w:szCs w:val="24"/>
        </w:rPr>
        <w:t>Encourage the development</w:t>
      </w:r>
      <w:r w:rsidR="0095587C" w:rsidRPr="00A5056C">
        <w:rPr>
          <w:sz w:val="24"/>
          <w:szCs w:val="24"/>
        </w:rPr>
        <w:t xml:space="preserve"> and delivery</w:t>
      </w:r>
      <w:r w:rsidRPr="00A5056C">
        <w:rPr>
          <w:sz w:val="24"/>
          <w:szCs w:val="24"/>
        </w:rPr>
        <w:t xml:space="preserve"> of relevant </w:t>
      </w:r>
      <w:r w:rsidR="00B74F58" w:rsidRPr="00A5056C">
        <w:rPr>
          <w:sz w:val="24"/>
          <w:szCs w:val="24"/>
        </w:rPr>
        <w:t xml:space="preserve">higher level and </w:t>
      </w:r>
      <w:r w:rsidRPr="00A5056C">
        <w:rPr>
          <w:sz w:val="24"/>
          <w:szCs w:val="24"/>
        </w:rPr>
        <w:t>Degree Apprenticeships</w:t>
      </w:r>
      <w:r w:rsidR="00AB6B91">
        <w:rPr>
          <w:sz w:val="24"/>
          <w:szCs w:val="24"/>
        </w:rPr>
        <w:t>.</w:t>
      </w:r>
    </w:p>
    <w:p w14:paraId="589DB1F1" w14:textId="618B9C09" w:rsidR="00B74F58" w:rsidRPr="00A5056C" w:rsidRDefault="00B74F58" w:rsidP="00D41F11">
      <w:pPr>
        <w:pStyle w:val="ListParagraph"/>
        <w:numPr>
          <w:ilvl w:val="0"/>
          <w:numId w:val="4"/>
        </w:numPr>
        <w:rPr>
          <w:sz w:val="24"/>
          <w:szCs w:val="24"/>
        </w:rPr>
      </w:pPr>
      <w:r w:rsidRPr="00A5056C">
        <w:rPr>
          <w:sz w:val="24"/>
          <w:szCs w:val="24"/>
        </w:rPr>
        <w:t>Work together to influence apprenticeship policy and funding to ensure that it meets the needs of the ornamental horticulture sector</w:t>
      </w:r>
      <w:r w:rsidR="00AB6B91">
        <w:rPr>
          <w:sz w:val="24"/>
          <w:szCs w:val="24"/>
        </w:rPr>
        <w:t>.</w:t>
      </w:r>
    </w:p>
    <w:p w14:paraId="2AFA5F40" w14:textId="77777777" w:rsidR="00361C10" w:rsidRPr="00A5056C" w:rsidRDefault="00361C10" w:rsidP="00361C10">
      <w:pPr>
        <w:pStyle w:val="ListParagraph"/>
        <w:ind w:left="1080"/>
        <w:rPr>
          <w:sz w:val="24"/>
          <w:szCs w:val="24"/>
        </w:rPr>
      </w:pPr>
    </w:p>
    <w:p w14:paraId="0CCBD62B" w14:textId="1519621C" w:rsidR="00560C99" w:rsidRPr="00A5056C" w:rsidRDefault="00D41F11" w:rsidP="00560C99">
      <w:pPr>
        <w:pStyle w:val="ListParagraph"/>
        <w:numPr>
          <w:ilvl w:val="0"/>
          <w:numId w:val="1"/>
        </w:numPr>
        <w:rPr>
          <w:sz w:val="24"/>
          <w:szCs w:val="24"/>
        </w:rPr>
      </w:pPr>
      <w:r w:rsidRPr="00A5056C">
        <w:rPr>
          <w:sz w:val="24"/>
          <w:szCs w:val="24"/>
        </w:rPr>
        <w:t>T – Levels</w:t>
      </w:r>
    </w:p>
    <w:p w14:paraId="45FB78B7" w14:textId="399B8498" w:rsidR="00D41F11" w:rsidRPr="00A5056C" w:rsidRDefault="00D41F11" w:rsidP="00D41F11">
      <w:pPr>
        <w:ind w:left="360"/>
        <w:rPr>
          <w:sz w:val="24"/>
          <w:szCs w:val="24"/>
        </w:rPr>
      </w:pPr>
      <w:r w:rsidRPr="00A5056C">
        <w:rPr>
          <w:sz w:val="24"/>
          <w:szCs w:val="24"/>
        </w:rPr>
        <w:t>Members of the OHRG have actively engaged in the development o</w:t>
      </w:r>
      <w:r w:rsidR="008A6DA6" w:rsidRPr="00A5056C">
        <w:rPr>
          <w:sz w:val="24"/>
          <w:szCs w:val="24"/>
        </w:rPr>
        <w:t>f</w:t>
      </w:r>
      <w:r w:rsidRPr="00A5056C">
        <w:rPr>
          <w:sz w:val="24"/>
          <w:szCs w:val="24"/>
        </w:rPr>
        <w:t xml:space="preserve"> a land-based industr</w:t>
      </w:r>
      <w:r w:rsidR="008A6DA6" w:rsidRPr="00A5056C">
        <w:rPr>
          <w:sz w:val="24"/>
          <w:szCs w:val="24"/>
        </w:rPr>
        <w:t>ies T-Level.</w:t>
      </w:r>
    </w:p>
    <w:p w14:paraId="1E3A7F1B" w14:textId="62E7A4FA" w:rsidR="008A6DA6" w:rsidRPr="00A5056C" w:rsidRDefault="008A6DA6" w:rsidP="00D41F11">
      <w:pPr>
        <w:ind w:left="360"/>
        <w:rPr>
          <w:sz w:val="24"/>
          <w:szCs w:val="24"/>
        </w:rPr>
      </w:pPr>
      <w:r w:rsidRPr="00A5056C">
        <w:rPr>
          <w:sz w:val="24"/>
          <w:szCs w:val="24"/>
        </w:rPr>
        <w:t xml:space="preserve">It is our objective to: </w:t>
      </w:r>
    </w:p>
    <w:p w14:paraId="6BB0E482" w14:textId="43EDF942" w:rsidR="008A6DA6" w:rsidRPr="00A5056C" w:rsidRDefault="008A6DA6" w:rsidP="008A6DA6">
      <w:pPr>
        <w:pStyle w:val="ListParagraph"/>
        <w:numPr>
          <w:ilvl w:val="0"/>
          <w:numId w:val="5"/>
        </w:numPr>
        <w:rPr>
          <w:sz w:val="24"/>
          <w:szCs w:val="24"/>
        </w:rPr>
      </w:pPr>
      <w:r w:rsidRPr="00A5056C">
        <w:rPr>
          <w:sz w:val="24"/>
          <w:szCs w:val="24"/>
        </w:rPr>
        <w:t>Ensure that the Land-based T-Level program contains an appropriate level of content relating to Ornamental Horticulture</w:t>
      </w:r>
      <w:r w:rsidR="00AB6B91">
        <w:rPr>
          <w:sz w:val="24"/>
          <w:szCs w:val="24"/>
        </w:rPr>
        <w:t>.</w:t>
      </w:r>
    </w:p>
    <w:p w14:paraId="2D50D4EA" w14:textId="1B8039B6" w:rsidR="008A6DA6" w:rsidRPr="00A5056C" w:rsidRDefault="008A6DA6" w:rsidP="008A6DA6">
      <w:pPr>
        <w:pStyle w:val="ListParagraph"/>
        <w:numPr>
          <w:ilvl w:val="0"/>
          <w:numId w:val="5"/>
        </w:numPr>
        <w:rPr>
          <w:sz w:val="24"/>
          <w:szCs w:val="24"/>
        </w:rPr>
      </w:pPr>
      <w:r w:rsidRPr="00A5056C">
        <w:rPr>
          <w:sz w:val="24"/>
          <w:szCs w:val="24"/>
        </w:rPr>
        <w:t>Ensure appropriate consideration is given by colleges and employers to the practicalities of offering work placements in the sector</w:t>
      </w:r>
      <w:r w:rsidR="00AB6B91">
        <w:rPr>
          <w:sz w:val="24"/>
          <w:szCs w:val="24"/>
        </w:rPr>
        <w:t>.</w:t>
      </w:r>
    </w:p>
    <w:p w14:paraId="3949B863" w14:textId="77777777" w:rsidR="008A6DA6" w:rsidRPr="00A5056C" w:rsidRDefault="008A6DA6" w:rsidP="008A6DA6">
      <w:pPr>
        <w:pStyle w:val="ListParagraph"/>
        <w:ind w:left="1080"/>
        <w:rPr>
          <w:sz w:val="24"/>
          <w:szCs w:val="24"/>
        </w:rPr>
      </w:pPr>
    </w:p>
    <w:p w14:paraId="431CD34C" w14:textId="02DBEB75" w:rsidR="008A6DA6" w:rsidRPr="00A5056C" w:rsidRDefault="008A6DA6" w:rsidP="008A6DA6">
      <w:pPr>
        <w:pStyle w:val="ListParagraph"/>
        <w:numPr>
          <w:ilvl w:val="0"/>
          <w:numId w:val="1"/>
        </w:numPr>
        <w:rPr>
          <w:sz w:val="24"/>
          <w:szCs w:val="24"/>
        </w:rPr>
      </w:pPr>
      <w:r w:rsidRPr="00A5056C">
        <w:rPr>
          <w:sz w:val="24"/>
          <w:szCs w:val="24"/>
        </w:rPr>
        <w:t>Professional Skills Development</w:t>
      </w:r>
    </w:p>
    <w:p w14:paraId="49E4A804" w14:textId="1FA911B2" w:rsidR="008A6DA6" w:rsidRPr="00A5056C" w:rsidRDefault="008A6DA6" w:rsidP="008A6DA6">
      <w:pPr>
        <w:ind w:left="360"/>
        <w:rPr>
          <w:sz w:val="24"/>
          <w:szCs w:val="24"/>
        </w:rPr>
      </w:pPr>
      <w:r w:rsidRPr="00A5056C">
        <w:rPr>
          <w:sz w:val="24"/>
          <w:szCs w:val="24"/>
        </w:rPr>
        <w:t xml:space="preserve">Ornamental Horticulture currently remains outside the scope of TIAH (The Institute of Agriculture and Horticulture) – except for a limited number of nursery operations. </w:t>
      </w:r>
      <w:r w:rsidR="00361C10" w:rsidRPr="00A5056C">
        <w:rPr>
          <w:sz w:val="24"/>
          <w:szCs w:val="24"/>
        </w:rPr>
        <w:t>This is just one aspect of a funding environment that adversely impacts upon the development of professional skills and standards within the sector.</w:t>
      </w:r>
    </w:p>
    <w:p w14:paraId="1F8E00C9" w14:textId="3AE9EC28" w:rsidR="00EF5F63" w:rsidRPr="00A5056C" w:rsidRDefault="008A6DA6" w:rsidP="00EF5F63">
      <w:pPr>
        <w:ind w:left="360"/>
        <w:rPr>
          <w:sz w:val="24"/>
          <w:szCs w:val="24"/>
        </w:rPr>
      </w:pPr>
      <w:r w:rsidRPr="00A5056C">
        <w:rPr>
          <w:sz w:val="24"/>
          <w:szCs w:val="24"/>
        </w:rPr>
        <w:t xml:space="preserve">It is our objective to: </w:t>
      </w:r>
    </w:p>
    <w:p w14:paraId="357C6181" w14:textId="487D5DCA" w:rsidR="00EF5F63" w:rsidRPr="00A5056C" w:rsidRDefault="00EF5F63" w:rsidP="00361C10">
      <w:pPr>
        <w:pStyle w:val="ListParagraph"/>
        <w:numPr>
          <w:ilvl w:val="0"/>
          <w:numId w:val="6"/>
        </w:numPr>
        <w:rPr>
          <w:sz w:val="24"/>
          <w:szCs w:val="24"/>
        </w:rPr>
      </w:pPr>
      <w:r w:rsidRPr="00A5056C">
        <w:rPr>
          <w:rFonts w:ascii="Calibri" w:eastAsia="Times New Roman" w:hAnsi="Calibri" w:cs="Calibri"/>
          <w:sz w:val="24"/>
          <w:szCs w:val="24"/>
          <w:lang w:eastAsia="en-GB"/>
        </w:rPr>
        <w:t>Support an audit of the training provision across the sector to assess gaps against skills needs, and implement subsequent recommended action to ensure there is appropriate, funded skills provision, drive improvements, and look for opportunities to further develop training.</w:t>
      </w:r>
    </w:p>
    <w:p w14:paraId="4AAD307F" w14:textId="05980ECC" w:rsidR="00361C10" w:rsidRPr="00A5056C" w:rsidRDefault="00361C10" w:rsidP="00361C10">
      <w:pPr>
        <w:pStyle w:val="ListParagraph"/>
        <w:numPr>
          <w:ilvl w:val="0"/>
          <w:numId w:val="6"/>
        </w:numPr>
        <w:rPr>
          <w:sz w:val="24"/>
          <w:szCs w:val="24"/>
        </w:rPr>
      </w:pPr>
      <w:r w:rsidRPr="00A5056C">
        <w:rPr>
          <w:sz w:val="24"/>
          <w:szCs w:val="24"/>
        </w:rPr>
        <w:t xml:space="preserve">Have a collaborative relationship TIAH, based on a </w:t>
      </w:r>
      <w:proofErr w:type="spellStart"/>
      <w:r w:rsidRPr="00A5056C">
        <w:rPr>
          <w:sz w:val="24"/>
          <w:szCs w:val="24"/>
        </w:rPr>
        <w:t>stakeholding</w:t>
      </w:r>
      <w:proofErr w:type="spellEnd"/>
      <w:r w:rsidRPr="00A5056C">
        <w:rPr>
          <w:sz w:val="24"/>
          <w:szCs w:val="24"/>
        </w:rPr>
        <w:t xml:space="preserve"> that receives a similar level of Government support.</w:t>
      </w:r>
    </w:p>
    <w:p w14:paraId="49B175BD" w14:textId="16854841" w:rsidR="00361C10" w:rsidRDefault="00361C10" w:rsidP="00361C10">
      <w:pPr>
        <w:pStyle w:val="ListParagraph"/>
        <w:numPr>
          <w:ilvl w:val="0"/>
          <w:numId w:val="6"/>
        </w:numPr>
        <w:rPr>
          <w:sz w:val="24"/>
          <w:szCs w:val="24"/>
        </w:rPr>
      </w:pPr>
      <w:r w:rsidRPr="00A5056C">
        <w:rPr>
          <w:sz w:val="24"/>
          <w:szCs w:val="24"/>
        </w:rPr>
        <w:t xml:space="preserve">Ensure that the sector is not </w:t>
      </w:r>
      <w:r>
        <w:rPr>
          <w:sz w:val="24"/>
          <w:szCs w:val="24"/>
        </w:rPr>
        <w:t xml:space="preserve">consistently overlooked in skills funding programs – noting that the current trend towards Local Skills Improvement Plans (LSIPs) tends to </w:t>
      </w:r>
      <w:r w:rsidR="00DD5FD4">
        <w:rPr>
          <w:sz w:val="24"/>
          <w:szCs w:val="24"/>
        </w:rPr>
        <w:lastRenderedPageBreak/>
        <w:t xml:space="preserve">favour </w:t>
      </w:r>
      <w:r>
        <w:rPr>
          <w:sz w:val="24"/>
          <w:szCs w:val="24"/>
        </w:rPr>
        <w:t xml:space="preserve">the most important sectors within regions – whereas sectors like </w:t>
      </w:r>
      <w:r w:rsidR="00DD5FD4">
        <w:rPr>
          <w:sz w:val="24"/>
          <w:szCs w:val="24"/>
        </w:rPr>
        <w:t>Ornamental Horticulture are more easily identified as nationally important.</w:t>
      </w:r>
    </w:p>
    <w:p w14:paraId="15194EF8" w14:textId="77777777" w:rsidR="00DD5FD4" w:rsidRPr="00361C10" w:rsidRDefault="00DD5FD4" w:rsidP="00DD5FD4">
      <w:pPr>
        <w:pStyle w:val="ListParagraph"/>
        <w:ind w:left="1080"/>
        <w:rPr>
          <w:sz w:val="24"/>
          <w:szCs w:val="24"/>
        </w:rPr>
      </w:pPr>
    </w:p>
    <w:p w14:paraId="6069822A" w14:textId="1018E425" w:rsidR="00560C99" w:rsidRDefault="00560C99" w:rsidP="00560C99">
      <w:pPr>
        <w:pStyle w:val="ListParagraph"/>
        <w:numPr>
          <w:ilvl w:val="0"/>
          <w:numId w:val="1"/>
        </w:numPr>
        <w:rPr>
          <w:sz w:val="24"/>
          <w:szCs w:val="24"/>
        </w:rPr>
      </w:pPr>
      <w:r>
        <w:rPr>
          <w:sz w:val="24"/>
          <w:szCs w:val="24"/>
        </w:rPr>
        <w:t>Careers Promotion</w:t>
      </w:r>
    </w:p>
    <w:p w14:paraId="25F50B80" w14:textId="22714495" w:rsidR="00DD5FD4" w:rsidRPr="00DD5FD4" w:rsidRDefault="0028596F" w:rsidP="00DD5FD4">
      <w:pPr>
        <w:ind w:left="360"/>
        <w:rPr>
          <w:sz w:val="24"/>
          <w:szCs w:val="24"/>
        </w:rPr>
      </w:pPr>
      <w:r>
        <w:rPr>
          <w:sz w:val="24"/>
          <w:szCs w:val="24"/>
        </w:rPr>
        <w:t xml:space="preserve">We need to develop our presence in the more generic campaigns that will signpost candidates towards our industry. Once interested, we have some good initiatives to give a more specialist insight (such as BALI’s </w:t>
      </w:r>
      <w:proofErr w:type="spellStart"/>
      <w:r>
        <w:rPr>
          <w:sz w:val="24"/>
          <w:szCs w:val="24"/>
        </w:rPr>
        <w:t>GoLandscape</w:t>
      </w:r>
      <w:proofErr w:type="spellEnd"/>
      <w:r>
        <w:rPr>
          <w:sz w:val="24"/>
          <w:szCs w:val="24"/>
        </w:rPr>
        <w:t>), but more resources are needed.</w:t>
      </w:r>
    </w:p>
    <w:p w14:paraId="1523C983" w14:textId="10F76FB8" w:rsidR="00DD5FD4" w:rsidRDefault="0028596F" w:rsidP="00DD5FD4">
      <w:pPr>
        <w:ind w:left="360"/>
        <w:rPr>
          <w:sz w:val="24"/>
          <w:szCs w:val="24"/>
        </w:rPr>
      </w:pPr>
      <w:r>
        <w:rPr>
          <w:sz w:val="24"/>
          <w:szCs w:val="24"/>
        </w:rPr>
        <w:t>It is our objective to:</w:t>
      </w:r>
    </w:p>
    <w:p w14:paraId="7F859CEA" w14:textId="2132C1B4" w:rsidR="0028596F" w:rsidRDefault="0028596F" w:rsidP="0028596F">
      <w:pPr>
        <w:pStyle w:val="ListParagraph"/>
        <w:numPr>
          <w:ilvl w:val="0"/>
          <w:numId w:val="7"/>
        </w:numPr>
        <w:rPr>
          <w:sz w:val="24"/>
          <w:szCs w:val="24"/>
        </w:rPr>
      </w:pPr>
      <w:r>
        <w:rPr>
          <w:sz w:val="24"/>
          <w:szCs w:val="24"/>
        </w:rPr>
        <w:t>Work more closely with the National Careers Service and provide more resources and training opportunities to careers advisers to ensure they market the sector more effectively</w:t>
      </w:r>
      <w:r w:rsidR="00AB6B91">
        <w:rPr>
          <w:sz w:val="24"/>
          <w:szCs w:val="24"/>
        </w:rPr>
        <w:t>.</w:t>
      </w:r>
    </w:p>
    <w:p w14:paraId="7FCE3010" w14:textId="333DCDEA" w:rsidR="0028596F" w:rsidRDefault="0028596F" w:rsidP="0028596F">
      <w:pPr>
        <w:pStyle w:val="ListParagraph"/>
        <w:numPr>
          <w:ilvl w:val="0"/>
          <w:numId w:val="7"/>
        </w:numPr>
        <w:rPr>
          <w:sz w:val="24"/>
          <w:szCs w:val="24"/>
        </w:rPr>
      </w:pPr>
      <w:r>
        <w:rPr>
          <w:sz w:val="24"/>
          <w:szCs w:val="24"/>
        </w:rPr>
        <w:t>Develop funding opportunities to improve the careers promotion resources that support the sector</w:t>
      </w:r>
      <w:r w:rsidR="00AB6B91">
        <w:rPr>
          <w:sz w:val="24"/>
          <w:szCs w:val="24"/>
        </w:rPr>
        <w:t>.</w:t>
      </w:r>
    </w:p>
    <w:p w14:paraId="1E35A013" w14:textId="65115456" w:rsidR="009016DF" w:rsidRDefault="009016DF" w:rsidP="0028596F">
      <w:pPr>
        <w:pStyle w:val="ListParagraph"/>
        <w:numPr>
          <w:ilvl w:val="0"/>
          <w:numId w:val="7"/>
        </w:numPr>
        <w:rPr>
          <w:sz w:val="24"/>
          <w:szCs w:val="24"/>
        </w:rPr>
      </w:pPr>
      <w:r>
        <w:rPr>
          <w:sz w:val="24"/>
          <w:szCs w:val="24"/>
        </w:rPr>
        <w:t>Work on new programmes to improve diversity and inclusion within the horticultural sector, from engagement activities to experiences and information</w:t>
      </w:r>
      <w:r w:rsidR="00AB6B91">
        <w:rPr>
          <w:sz w:val="24"/>
          <w:szCs w:val="24"/>
        </w:rPr>
        <w:t>.</w:t>
      </w:r>
    </w:p>
    <w:p w14:paraId="0F0B6E0C" w14:textId="77777777" w:rsidR="0028596F" w:rsidRPr="0028596F" w:rsidRDefault="0028596F" w:rsidP="0028596F">
      <w:pPr>
        <w:pStyle w:val="ListParagraph"/>
        <w:ind w:left="1080"/>
        <w:rPr>
          <w:sz w:val="24"/>
          <w:szCs w:val="24"/>
        </w:rPr>
      </w:pPr>
    </w:p>
    <w:p w14:paraId="3F91A85D" w14:textId="0AC04466" w:rsidR="00560C99" w:rsidRDefault="00560C99" w:rsidP="00560C99">
      <w:pPr>
        <w:pStyle w:val="ListParagraph"/>
        <w:numPr>
          <w:ilvl w:val="0"/>
          <w:numId w:val="1"/>
        </w:numPr>
        <w:rPr>
          <w:sz w:val="24"/>
          <w:szCs w:val="24"/>
        </w:rPr>
      </w:pPr>
      <w:r>
        <w:rPr>
          <w:sz w:val="24"/>
          <w:szCs w:val="24"/>
        </w:rPr>
        <w:t>School Curriculum</w:t>
      </w:r>
    </w:p>
    <w:p w14:paraId="0D0CBB40" w14:textId="4C378593" w:rsidR="00FC17C8" w:rsidRDefault="00FC17C8" w:rsidP="00FC17C8">
      <w:pPr>
        <w:ind w:left="360"/>
        <w:rPr>
          <w:sz w:val="24"/>
          <w:szCs w:val="24"/>
        </w:rPr>
      </w:pPr>
      <w:r>
        <w:rPr>
          <w:sz w:val="24"/>
          <w:szCs w:val="24"/>
        </w:rPr>
        <w:t>The RHS’s Campaign for School Gardening has achieved some notable success, but there are some unfulfilled opportunities for horticulture to play a bigger part in the school curriculum and thereby inspire the next generation to explore its exciting career opportunities.</w:t>
      </w:r>
    </w:p>
    <w:p w14:paraId="599CA7D0" w14:textId="2B379A1C" w:rsidR="00FC17C8" w:rsidRDefault="00FC17C8" w:rsidP="00FC17C8">
      <w:pPr>
        <w:ind w:left="360"/>
        <w:rPr>
          <w:sz w:val="24"/>
          <w:szCs w:val="24"/>
        </w:rPr>
      </w:pPr>
      <w:r>
        <w:rPr>
          <w:sz w:val="24"/>
          <w:szCs w:val="24"/>
        </w:rPr>
        <w:t xml:space="preserve">It is our objective to: </w:t>
      </w:r>
    </w:p>
    <w:p w14:paraId="0F1FE849" w14:textId="64DD4846" w:rsidR="00FC17C8" w:rsidRDefault="00FC17C8" w:rsidP="00FC17C8">
      <w:pPr>
        <w:pStyle w:val="ListParagraph"/>
        <w:numPr>
          <w:ilvl w:val="0"/>
          <w:numId w:val="8"/>
        </w:numPr>
        <w:rPr>
          <w:sz w:val="24"/>
          <w:szCs w:val="24"/>
        </w:rPr>
      </w:pPr>
      <w:r>
        <w:rPr>
          <w:sz w:val="24"/>
          <w:szCs w:val="24"/>
        </w:rPr>
        <w:t xml:space="preserve">Develop communications with DfE </w:t>
      </w:r>
      <w:r w:rsidR="00870850">
        <w:rPr>
          <w:sz w:val="24"/>
          <w:szCs w:val="24"/>
        </w:rPr>
        <w:t xml:space="preserve">(including Ministers) </w:t>
      </w:r>
      <w:r>
        <w:rPr>
          <w:sz w:val="24"/>
          <w:szCs w:val="24"/>
        </w:rPr>
        <w:t>on expanding the horticultural content of the National Curriculum</w:t>
      </w:r>
      <w:r w:rsidR="00AB6B91">
        <w:rPr>
          <w:sz w:val="24"/>
          <w:szCs w:val="24"/>
        </w:rPr>
        <w:t>.</w:t>
      </w:r>
    </w:p>
    <w:p w14:paraId="35A50822" w14:textId="182A87E3" w:rsidR="00FC17C8" w:rsidRDefault="00FC17C8" w:rsidP="00FC17C8">
      <w:pPr>
        <w:pStyle w:val="ListParagraph"/>
        <w:numPr>
          <w:ilvl w:val="0"/>
          <w:numId w:val="8"/>
        </w:numPr>
        <w:rPr>
          <w:sz w:val="24"/>
          <w:szCs w:val="24"/>
        </w:rPr>
      </w:pPr>
      <w:r>
        <w:rPr>
          <w:sz w:val="24"/>
          <w:szCs w:val="24"/>
        </w:rPr>
        <w:t xml:space="preserve">Establish Horticulture as a first choice mechanism of </w:t>
      </w:r>
      <w:r w:rsidR="00870850">
        <w:rPr>
          <w:sz w:val="24"/>
          <w:szCs w:val="24"/>
        </w:rPr>
        <w:t>developing the STEM curriculum</w:t>
      </w:r>
      <w:r w:rsidR="00AB6B91">
        <w:rPr>
          <w:sz w:val="24"/>
          <w:szCs w:val="24"/>
        </w:rPr>
        <w:t>.</w:t>
      </w:r>
    </w:p>
    <w:p w14:paraId="0D8562C5" w14:textId="73B33D3B" w:rsidR="00870850" w:rsidRPr="00FC17C8" w:rsidRDefault="00870850" w:rsidP="00870850">
      <w:pPr>
        <w:pStyle w:val="ListParagraph"/>
        <w:ind w:left="1080"/>
        <w:rPr>
          <w:sz w:val="24"/>
          <w:szCs w:val="24"/>
        </w:rPr>
      </w:pPr>
    </w:p>
    <w:p w14:paraId="316016AD" w14:textId="1595BD59" w:rsidR="004F3775" w:rsidRDefault="004F3775" w:rsidP="004F3775">
      <w:pPr>
        <w:rPr>
          <w:b/>
          <w:bCs/>
          <w:sz w:val="24"/>
          <w:szCs w:val="24"/>
        </w:rPr>
      </w:pPr>
      <w:r w:rsidRPr="004F3775">
        <w:rPr>
          <w:b/>
          <w:bCs/>
          <w:sz w:val="24"/>
          <w:szCs w:val="24"/>
        </w:rPr>
        <w:t>Current Education and Employment Working Group Membership</w:t>
      </w:r>
    </w:p>
    <w:p w14:paraId="2C8DA9D1" w14:textId="14EE9571" w:rsidR="004F3775" w:rsidRDefault="004F3775" w:rsidP="004F3775">
      <w:pPr>
        <w:rPr>
          <w:sz w:val="24"/>
          <w:szCs w:val="24"/>
        </w:rPr>
      </w:pPr>
      <w:r>
        <w:rPr>
          <w:sz w:val="24"/>
          <w:szCs w:val="24"/>
        </w:rPr>
        <w:t xml:space="preserve">Martin Emmett </w:t>
      </w:r>
      <w:r w:rsidR="00B07907">
        <w:rPr>
          <w:sz w:val="24"/>
          <w:szCs w:val="24"/>
        </w:rPr>
        <w:t>(</w:t>
      </w:r>
      <w:r>
        <w:rPr>
          <w:sz w:val="24"/>
          <w:szCs w:val="24"/>
        </w:rPr>
        <w:t>NFU Board for Horticulture and Potatoes/Tristram Plants</w:t>
      </w:r>
      <w:r w:rsidR="00B07907">
        <w:rPr>
          <w:sz w:val="24"/>
          <w:szCs w:val="24"/>
        </w:rPr>
        <w:t>) – Chair</w:t>
      </w:r>
    </w:p>
    <w:p w14:paraId="0B43E44B" w14:textId="796CC79A" w:rsidR="00B07907" w:rsidRDefault="00B07907" w:rsidP="004F3775">
      <w:pPr>
        <w:rPr>
          <w:sz w:val="24"/>
          <w:szCs w:val="24"/>
        </w:rPr>
      </w:pPr>
      <w:r>
        <w:rPr>
          <w:sz w:val="24"/>
          <w:szCs w:val="24"/>
        </w:rPr>
        <w:t>Suzanne Moss (RHS) – Vice Chair</w:t>
      </w:r>
    </w:p>
    <w:p w14:paraId="5D324765" w14:textId="12DDBE0B" w:rsidR="00B07907" w:rsidRDefault="00B07907" w:rsidP="004F3775">
      <w:pPr>
        <w:rPr>
          <w:sz w:val="24"/>
          <w:szCs w:val="24"/>
        </w:rPr>
      </w:pPr>
      <w:r>
        <w:rPr>
          <w:sz w:val="24"/>
          <w:szCs w:val="24"/>
        </w:rPr>
        <w:t>Ros Burnley (Adrow)</w:t>
      </w:r>
    </w:p>
    <w:p w14:paraId="5FD06FA8" w14:textId="47C48958" w:rsidR="006D77A7" w:rsidRDefault="006D77A7" w:rsidP="004F3775">
      <w:pPr>
        <w:rPr>
          <w:sz w:val="24"/>
          <w:szCs w:val="24"/>
        </w:rPr>
      </w:pPr>
      <w:r>
        <w:rPr>
          <w:sz w:val="24"/>
          <w:szCs w:val="24"/>
        </w:rPr>
        <w:t>Anne Clark (HTA)</w:t>
      </w:r>
    </w:p>
    <w:p w14:paraId="00776E23" w14:textId="534CE59E" w:rsidR="00B07907" w:rsidRDefault="00B07907" w:rsidP="004F3775">
      <w:pPr>
        <w:rPr>
          <w:sz w:val="24"/>
          <w:szCs w:val="24"/>
        </w:rPr>
      </w:pPr>
      <w:r>
        <w:rPr>
          <w:sz w:val="24"/>
          <w:szCs w:val="24"/>
        </w:rPr>
        <w:t>Wayne Grills (BALI)</w:t>
      </w:r>
    </w:p>
    <w:p w14:paraId="4811CE1E" w14:textId="4F01B631" w:rsidR="00B07907" w:rsidRDefault="00B07907" w:rsidP="004F3775">
      <w:pPr>
        <w:rPr>
          <w:sz w:val="24"/>
          <w:szCs w:val="24"/>
        </w:rPr>
      </w:pPr>
      <w:r>
        <w:rPr>
          <w:sz w:val="24"/>
          <w:szCs w:val="24"/>
        </w:rPr>
        <w:t>Tess Howe (TIAH)</w:t>
      </w:r>
    </w:p>
    <w:p w14:paraId="0FB754BD" w14:textId="4DD608C1" w:rsidR="006D77A7" w:rsidRDefault="006D77A7" w:rsidP="004F3775">
      <w:pPr>
        <w:rPr>
          <w:sz w:val="24"/>
          <w:szCs w:val="24"/>
        </w:rPr>
      </w:pPr>
      <w:r>
        <w:rPr>
          <w:sz w:val="24"/>
          <w:szCs w:val="24"/>
        </w:rPr>
        <w:lastRenderedPageBreak/>
        <w:t>Christine McDowell (NFU)</w:t>
      </w:r>
    </w:p>
    <w:p w14:paraId="76406041" w14:textId="271ABEE3" w:rsidR="00B07907" w:rsidRDefault="00B07907" w:rsidP="004F3775">
      <w:pPr>
        <w:rPr>
          <w:sz w:val="24"/>
          <w:szCs w:val="24"/>
        </w:rPr>
      </w:pPr>
      <w:r>
        <w:rPr>
          <w:sz w:val="24"/>
          <w:szCs w:val="24"/>
        </w:rPr>
        <w:t>Chris Moncrieff (RHS)</w:t>
      </w:r>
    </w:p>
    <w:p w14:paraId="4819DE16" w14:textId="3CF84720" w:rsidR="006D77A7" w:rsidRDefault="006D77A7" w:rsidP="004F3775">
      <w:pPr>
        <w:rPr>
          <w:sz w:val="24"/>
          <w:szCs w:val="24"/>
        </w:rPr>
      </w:pPr>
      <w:r>
        <w:rPr>
          <w:sz w:val="24"/>
          <w:szCs w:val="24"/>
        </w:rPr>
        <w:t>John Parker (</w:t>
      </w:r>
      <w:proofErr w:type="spellStart"/>
      <w:r>
        <w:rPr>
          <w:sz w:val="24"/>
          <w:szCs w:val="24"/>
        </w:rPr>
        <w:t>Aboricultural</w:t>
      </w:r>
      <w:proofErr w:type="spellEnd"/>
      <w:r>
        <w:rPr>
          <w:sz w:val="24"/>
          <w:szCs w:val="24"/>
        </w:rPr>
        <w:t xml:space="preserve"> Association)</w:t>
      </w:r>
    </w:p>
    <w:p w14:paraId="747905A6" w14:textId="65612F7E" w:rsidR="00B07907" w:rsidRDefault="00B07907" w:rsidP="004F3775">
      <w:pPr>
        <w:rPr>
          <w:sz w:val="24"/>
          <w:szCs w:val="24"/>
        </w:rPr>
      </w:pPr>
      <w:r>
        <w:rPr>
          <w:sz w:val="24"/>
          <w:szCs w:val="24"/>
        </w:rPr>
        <w:t>Alex Payne (Landex)</w:t>
      </w:r>
    </w:p>
    <w:p w14:paraId="5C67DDBF" w14:textId="6FE585DA" w:rsidR="00B07907" w:rsidRDefault="00B07907" w:rsidP="004F3775">
      <w:pPr>
        <w:rPr>
          <w:sz w:val="24"/>
          <w:szCs w:val="24"/>
        </w:rPr>
      </w:pPr>
      <w:r>
        <w:rPr>
          <w:sz w:val="24"/>
          <w:szCs w:val="24"/>
        </w:rPr>
        <w:t>Tom Price (NFU)</w:t>
      </w:r>
    </w:p>
    <w:p w14:paraId="5D81E200" w14:textId="59D5C9B6" w:rsidR="00B07907" w:rsidRDefault="00B07907" w:rsidP="004F3775">
      <w:pPr>
        <w:rPr>
          <w:sz w:val="24"/>
          <w:szCs w:val="24"/>
        </w:rPr>
      </w:pPr>
      <w:r>
        <w:rPr>
          <w:sz w:val="24"/>
          <w:szCs w:val="24"/>
        </w:rPr>
        <w:t>Helen Sessions (CIOH)</w:t>
      </w:r>
    </w:p>
    <w:p w14:paraId="6B96DC7E" w14:textId="3C7BF85A" w:rsidR="004F3775" w:rsidRPr="00007BF3" w:rsidRDefault="006D77A7" w:rsidP="004F3775">
      <w:pPr>
        <w:rPr>
          <w:sz w:val="24"/>
          <w:szCs w:val="24"/>
        </w:rPr>
      </w:pPr>
      <w:r>
        <w:rPr>
          <w:sz w:val="24"/>
          <w:szCs w:val="24"/>
        </w:rPr>
        <w:t>Defra and DWP Colleagues – by invitation</w:t>
      </w:r>
    </w:p>
    <w:sectPr w:rsidR="004F3775" w:rsidRPr="00007BF3" w:rsidSect="008267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508"/>
    <w:multiLevelType w:val="hybridMultilevel"/>
    <w:tmpl w:val="7402C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821F82"/>
    <w:multiLevelType w:val="hybridMultilevel"/>
    <w:tmpl w:val="DABCD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D926EA"/>
    <w:multiLevelType w:val="hybridMultilevel"/>
    <w:tmpl w:val="2E32B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F06A0C"/>
    <w:multiLevelType w:val="hybridMultilevel"/>
    <w:tmpl w:val="36408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9217DD"/>
    <w:multiLevelType w:val="hybridMultilevel"/>
    <w:tmpl w:val="838E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4692F"/>
    <w:multiLevelType w:val="hybridMultilevel"/>
    <w:tmpl w:val="F0E08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52126C"/>
    <w:multiLevelType w:val="hybridMultilevel"/>
    <w:tmpl w:val="52B67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052A5A"/>
    <w:multiLevelType w:val="hybridMultilevel"/>
    <w:tmpl w:val="E688A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6975613">
    <w:abstractNumId w:val="6"/>
  </w:num>
  <w:num w:numId="2" w16cid:durableId="226652720">
    <w:abstractNumId w:val="4"/>
  </w:num>
  <w:num w:numId="3" w16cid:durableId="1983997740">
    <w:abstractNumId w:val="7"/>
  </w:num>
  <w:num w:numId="4" w16cid:durableId="1833330763">
    <w:abstractNumId w:val="3"/>
  </w:num>
  <w:num w:numId="5" w16cid:durableId="1490095990">
    <w:abstractNumId w:val="0"/>
  </w:num>
  <w:num w:numId="6" w16cid:durableId="1888488191">
    <w:abstractNumId w:val="1"/>
  </w:num>
  <w:num w:numId="7" w16cid:durableId="909926465">
    <w:abstractNumId w:val="2"/>
  </w:num>
  <w:num w:numId="8" w16cid:durableId="69157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F3"/>
    <w:rsid w:val="00007BF3"/>
    <w:rsid w:val="000312D0"/>
    <w:rsid w:val="0028596F"/>
    <w:rsid w:val="00361C10"/>
    <w:rsid w:val="004324A9"/>
    <w:rsid w:val="004F3775"/>
    <w:rsid w:val="00560C99"/>
    <w:rsid w:val="00583FFB"/>
    <w:rsid w:val="00591997"/>
    <w:rsid w:val="005F1B73"/>
    <w:rsid w:val="00630A31"/>
    <w:rsid w:val="006D77A7"/>
    <w:rsid w:val="008267BB"/>
    <w:rsid w:val="00870850"/>
    <w:rsid w:val="008A6DA6"/>
    <w:rsid w:val="009016DF"/>
    <w:rsid w:val="00933D6A"/>
    <w:rsid w:val="00945F74"/>
    <w:rsid w:val="0095587C"/>
    <w:rsid w:val="00A5056C"/>
    <w:rsid w:val="00AB6B91"/>
    <w:rsid w:val="00B07907"/>
    <w:rsid w:val="00B74F58"/>
    <w:rsid w:val="00BD2978"/>
    <w:rsid w:val="00C009C2"/>
    <w:rsid w:val="00C641E3"/>
    <w:rsid w:val="00D41F11"/>
    <w:rsid w:val="00DD5FD4"/>
    <w:rsid w:val="00EF5F63"/>
    <w:rsid w:val="00FC1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94F8"/>
  <w15:chartTrackingRefBased/>
  <w15:docId w15:val="{8A620CCD-9109-4EF8-9A4D-722FA0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A7"/>
    <w:pPr>
      <w:ind w:left="720"/>
      <w:contextualSpacing/>
    </w:pPr>
  </w:style>
  <w:style w:type="character" w:styleId="CommentReference">
    <w:name w:val="annotation reference"/>
    <w:basedOn w:val="DefaultParagraphFont"/>
    <w:uiPriority w:val="99"/>
    <w:semiHidden/>
    <w:unhideWhenUsed/>
    <w:rsid w:val="0095587C"/>
    <w:rPr>
      <w:sz w:val="16"/>
      <w:szCs w:val="16"/>
    </w:rPr>
  </w:style>
  <w:style w:type="paragraph" w:styleId="CommentText">
    <w:name w:val="annotation text"/>
    <w:basedOn w:val="Normal"/>
    <w:link w:val="CommentTextChar"/>
    <w:uiPriority w:val="99"/>
    <w:unhideWhenUsed/>
    <w:rsid w:val="0095587C"/>
    <w:pPr>
      <w:spacing w:line="240" w:lineRule="auto"/>
    </w:pPr>
    <w:rPr>
      <w:sz w:val="20"/>
      <w:szCs w:val="20"/>
    </w:rPr>
  </w:style>
  <w:style w:type="character" w:customStyle="1" w:styleId="CommentTextChar">
    <w:name w:val="Comment Text Char"/>
    <w:basedOn w:val="DefaultParagraphFont"/>
    <w:link w:val="CommentText"/>
    <w:uiPriority w:val="99"/>
    <w:rsid w:val="0095587C"/>
    <w:rPr>
      <w:sz w:val="20"/>
      <w:szCs w:val="20"/>
    </w:rPr>
  </w:style>
  <w:style w:type="paragraph" w:styleId="CommentSubject">
    <w:name w:val="annotation subject"/>
    <w:basedOn w:val="CommentText"/>
    <w:next w:val="CommentText"/>
    <w:link w:val="CommentSubjectChar"/>
    <w:uiPriority w:val="99"/>
    <w:semiHidden/>
    <w:unhideWhenUsed/>
    <w:rsid w:val="0095587C"/>
    <w:rPr>
      <w:b/>
      <w:bCs/>
    </w:rPr>
  </w:style>
  <w:style w:type="character" w:customStyle="1" w:styleId="CommentSubjectChar">
    <w:name w:val="Comment Subject Char"/>
    <w:basedOn w:val="CommentTextChar"/>
    <w:link w:val="CommentSubject"/>
    <w:uiPriority w:val="99"/>
    <w:semiHidden/>
    <w:rsid w:val="0095587C"/>
    <w:rPr>
      <w:b/>
      <w:bCs/>
      <w:sz w:val="20"/>
      <w:szCs w:val="20"/>
    </w:rPr>
  </w:style>
  <w:style w:type="paragraph" w:styleId="BalloonText">
    <w:name w:val="Balloon Text"/>
    <w:basedOn w:val="Normal"/>
    <w:link w:val="BalloonTextChar"/>
    <w:uiPriority w:val="99"/>
    <w:semiHidden/>
    <w:unhideWhenUsed/>
    <w:rsid w:val="0090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078d19-9294-4290-b2f2-21bb2c28b367">
      <Terms xmlns="http://schemas.microsoft.com/office/infopath/2007/PartnerControls"/>
    </lcf76f155ced4ddcb4097134ff3c332f>
    <TaxCatchAll xmlns="41d5e06b-52d4-4b9e-98b6-dfa7fcdb59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0008FE4CE884599505E55113EF27E" ma:contentTypeVersion="14" ma:contentTypeDescription="Create a new document." ma:contentTypeScope="" ma:versionID="3cba4d407118321588283600806d8813">
  <xsd:schema xmlns:xsd="http://www.w3.org/2001/XMLSchema" xmlns:xs="http://www.w3.org/2001/XMLSchema" xmlns:p="http://schemas.microsoft.com/office/2006/metadata/properties" xmlns:ns2="41d5e06b-52d4-4b9e-98b6-dfa7fcdb59d2" xmlns:ns3="e0078d19-9294-4290-b2f2-21bb2c28b367" targetNamespace="http://schemas.microsoft.com/office/2006/metadata/properties" ma:root="true" ma:fieldsID="404f1a5bc277c7fd48d3d0cd2ac599ab" ns2:_="" ns3:_="">
    <xsd:import namespace="41d5e06b-52d4-4b9e-98b6-dfa7fcdb59d2"/>
    <xsd:import namespace="e0078d19-9294-4290-b2f2-21bb2c28b3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e06b-52d4-4b9e-98b6-dfa7fcdb59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eb985df4-391a-4df8-8ba7-b589939d5142}" ma:internalName="TaxCatchAll" ma:showField="CatchAllData" ma:web="41d5e06b-52d4-4b9e-98b6-dfa7fcdb59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78d19-9294-4290-b2f2-21bb2c28b3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107c11-61cd-4fbf-8083-7cadc6911b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0D677-FB32-4760-922A-14F425E839D2}">
  <ds:schemaRefs>
    <ds:schemaRef ds:uri="http://schemas.microsoft.com/office/2006/metadata/properties"/>
    <ds:schemaRef ds:uri="http://schemas.microsoft.com/office/infopath/2007/PartnerControls"/>
    <ds:schemaRef ds:uri="e0078d19-9294-4290-b2f2-21bb2c28b367"/>
    <ds:schemaRef ds:uri="41d5e06b-52d4-4b9e-98b6-dfa7fcdb59d2"/>
  </ds:schemaRefs>
</ds:datastoreItem>
</file>

<file path=customXml/itemProps2.xml><?xml version="1.0" encoding="utf-8"?>
<ds:datastoreItem xmlns:ds="http://schemas.openxmlformats.org/officeDocument/2006/customXml" ds:itemID="{5A683ADB-06F4-48C5-ABAC-F57350BED5AC}">
  <ds:schemaRefs>
    <ds:schemaRef ds:uri="http://schemas.microsoft.com/sharepoint/v3/contenttype/forms"/>
  </ds:schemaRefs>
</ds:datastoreItem>
</file>

<file path=customXml/itemProps3.xml><?xml version="1.0" encoding="utf-8"?>
<ds:datastoreItem xmlns:ds="http://schemas.openxmlformats.org/officeDocument/2006/customXml" ds:itemID="{80475A1D-9A69-41BE-94BE-61DAA4CF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e06b-52d4-4b9e-98b6-dfa7fcdb59d2"/>
    <ds:schemaRef ds:uri="e0078d19-9294-4290-b2f2-21bb2c28b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Emmett</dc:creator>
  <cp:keywords/>
  <dc:description/>
  <cp:lastModifiedBy>Helen Sessions (CIH Development Officer)</cp:lastModifiedBy>
  <cp:revision>2</cp:revision>
  <dcterms:created xsi:type="dcterms:W3CDTF">2023-05-09T14:33:00Z</dcterms:created>
  <dcterms:modified xsi:type="dcterms:W3CDTF">2023-05-09T14:33:00Z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0x0101005C30008FE4CE884599505E55113EF27E</vt:lpwstr>
  </property>
  <property fmtid="{D5CDD505-2E9C-101B-9397-08002B2CF9AE}" pid="3" name="MediaServiceImageTags">
    <vt:lpwstr/>
  </property>
</Properties>
</file>